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0FAD6376"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8</w:t>
      </w:r>
      <w:r w:rsidR="001F0A3D" w:rsidRPr="001B7F27">
        <w:rPr>
          <w:rFonts w:ascii="Arial" w:eastAsia="바탕체" w:hAnsi="Arial" w:cs="Arial"/>
          <w:b/>
          <w:bCs/>
          <w:sz w:val="28"/>
          <w:lang w:eastAsia="ko-KR"/>
        </w:rPr>
        <w:t>0851</w:t>
      </w:r>
      <w:r w:rsidR="00ED30B7">
        <w:rPr>
          <w:rFonts w:ascii="Arial" w:eastAsia="바탕체" w:hAnsi="Arial" w:cs="Arial"/>
          <w:b/>
          <w:bCs/>
          <w:sz w:val="28"/>
          <w:lang w:eastAsia="ko-KR"/>
        </w:rPr>
        <w:t>7</w:t>
      </w:r>
    </w:p>
    <w:p w14:paraId="3BD11132" w14:textId="066E56E9" w:rsidR="00EA7E07" w:rsidRDefault="00E10555" w:rsidP="00EA7E0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2018</w:t>
      </w:r>
    </w:p>
    <w:p w14:paraId="6E4462CD" w14:textId="3721C040"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Pr>
          <w:rFonts w:ascii="Arial" w:eastAsia="맑은 고딕" w:hAnsi="Arial"/>
          <w:sz w:val="24"/>
          <w:lang w:val="en-US" w:eastAsia="ko-KR"/>
        </w:rPr>
        <w:t>7</w:t>
      </w:r>
      <w:r w:rsidRPr="003E43CC">
        <w:rPr>
          <w:rFonts w:ascii="Arial" w:eastAsia="맑은 고딕" w:hAnsi="Arial"/>
          <w:sz w:val="24"/>
          <w:lang w:val="en-US" w:eastAsia="ko-KR"/>
        </w:rPr>
        <w:t>.</w:t>
      </w:r>
      <w:r w:rsidR="00BE5608">
        <w:rPr>
          <w:rFonts w:ascii="Arial" w:eastAsia="맑은 고딕" w:hAnsi="Arial"/>
          <w:sz w:val="24"/>
          <w:lang w:val="en-US" w:eastAsia="ko-KR"/>
        </w:rPr>
        <w:t>2.3.3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B1EA8AE"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D30B7" w:rsidRPr="00ED30B7">
        <w:rPr>
          <w:rFonts w:ascii="Arial" w:hAnsi="Arial"/>
          <w:sz w:val="24"/>
        </w:rPr>
        <w:t>Initial access procedure in IAB scenario</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3F5C0D99" w:rsidR="00B63AB7" w:rsidRDefault="00B66310" w:rsidP="00B63AB7">
      <w:pPr>
        <w:ind w:left="0" w:firstLine="0"/>
        <w:rPr>
          <w:rFonts w:eastAsiaTheme="minorEastAsia"/>
          <w:b/>
          <w:i/>
          <w:lang w:eastAsia="ko-KR"/>
        </w:rPr>
      </w:pPr>
      <w:r>
        <w:rPr>
          <w:szCs w:val="22"/>
          <w:lang w:eastAsia="ko-KR"/>
        </w:rPr>
        <w:t xml:space="preserve">In RAN1#93 meeting, </w:t>
      </w:r>
      <w:r w:rsidR="00435116">
        <w:rPr>
          <w:szCs w:val="22"/>
          <w:lang w:eastAsia="ko-KR"/>
        </w:rPr>
        <w:t>the enhancements for supporting NR backhau</w:t>
      </w:r>
      <w:r w:rsidR="003453DC">
        <w:rPr>
          <w:szCs w:val="22"/>
          <w:lang w:eastAsia="ko-KR"/>
        </w:rPr>
        <w:t>l links are discussed, which agreement is captured in [</w:t>
      </w:r>
      <w:r w:rsidR="00016C28">
        <w:rPr>
          <w:szCs w:val="22"/>
          <w:lang w:eastAsia="ko-KR"/>
        </w:rPr>
        <w:t>1</w:t>
      </w:r>
      <w:r w:rsidR="003453DC">
        <w:rPr>
          <w:szCs w:val="22"/>
          <w:lang w:eastAsia="ko-KR"/>
        </w:rPr>
        <w:t>]. This contribution discuss about initial access procedure in IAB scenario.</w:t>
      </w:r>
    </w:p>
    <w:p w14:paraId="782DEBD9" w14:textId="08F9199C"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3453DC">
        <w:rPr>
          <w:rFonts w:eastAsiaTheme="minorEastAsia" w:cs="Arial"/>
          <w:b/>
          <w:szCs w:val="28"/>
          <w:lang w:eastAsia="ko-KR"/>
        </w:rPr>
        <w:t>initial access procedure</w:t>
      </w:r>
    </w:p>
    <w:p w14:paraId="4C43EAE4" w14:textId="68DC7966" w:rsidR="003453DC" w:rsidRPr="005B5565" w:rsidRDefault="003453DC" w:rsidP="003453DC">
      <w:pPr>
        <w:ind w:left="0" w:firstLine="0"/>
        <w:rPr>
          <w:lang w:val="en-US" w:eastAsia="ko-KR"/>
        </w:rPr>
      </w:pPr>
      <w:r w:rsidRPr="005B5565">
        <w:rPr>
          <w:lang w:val="en-US" w:eastAsia="ko-KR"/>
        </w:rPr>
        <w:t>In terms of initial access procedure in IAB, two aspects need to be considered: (</w:t>
      </w:r>
      <w:r>
        <w:rPr>
          <w:lang w:val="en-US" w:eastAsia="ko-KR"/>
        </w:rPr>
        <w:t>a</w:t>
      </w:r>
      <w:r w:rsidRPr="005B5565">
        <w:rPr>
          <w:lang w:val="en-US" w:eastAsia="ko-KR"/>
        </w:rPr>
        <w:t>) how to minimize impact on legacy NR UEs (</w:t>
      </w:r>
      <w:r>
        <w:rPr>
          <w:lang w:val="en-US" w:eastAsia="ko-KR"/>
        </w:rPr>
        <w:t>b</w:t>
      </w:r>
      <w:r w:rsidRPr="005B5565">
        <w:rPr>
          <w:lang w:val="en-US" w:eastAsia="ko-KR"/>
        </w:rPr>
        <w:t xml:space="preserve">) how to enhance initial access for advanced UEs. As a relay node introduces backhaul latency in terms of data transmission, a UE associated with a RN may have performance degradation due to the increased latency. </w:t>
      </w:r>
      <w:r w:rsidR="00FF6DA5">
        <w:rPr>
          <w:lang w:val="en-US" w:eastAsia="ko-KR"/>
        </w:rPr>
        <w:t>For advanced UEs, measurement of RSRQ/RSRP for initial access may need to be considered the number of relay hops to represent backhaul latency effect. Also,</w:t>
      </w:r>
      <w:r w:rsidRPr="005B5565">
        <w:rPr>
          <w:lang w:val="en-US" w:eastAsia="ko-KR"/>
        </w:rPr>
        <w:t xml:space="preserve"> for legacy UEs, </w:t>
      </w:r>
      <w:r w:rsidR="00FF6DA5">
        <w:rPr>
          <w:lang w:val="en-US" w:eastAsia="ko-KR"/>
        </w:rPr>
        <w:t xml:space="preserve">since it is not possible to recognize relay hops and consider it in the measurement, </w:t>
      </w:r>
      <w:r w:rsidRPr="005B5565">
        <w:rPr>
          <w:lang w:val="en-US" w:eastAsia="ko-KR"/>
        </w:rPr>
        <w:t>it may be necessary to consider a barring mechanism if relay node does not support legacy UEs. To differentiate donor and relay node</w:t>
      </w:r>
      <w:r w:rsidR="002D3E43">
        <w:rPr>
          <w:lang w:val="en-US" w:eastAsia="ko-KR"/>
        </w:rPr>
        <w:t xml:space="preserve"> with up to the number of relay hops</w:t>
      </w:r>
      <w:r w:rsidRPr="005B5565">
        <w:rPr>
          <w:lang w:val="en-US" w:eastAsia="ko-KR"/>
        </w:rPr>
        <w:t xml:space="preserve">, we can consider a few mechanisms. </w:t>
      </w:r>
    </w:p>
    <w:p w14:paraId="42E5C0C7" w14:textId="3E5429E4" w:rsidR="003627CE" w:rsidRDefault="003453DC" w:rsidP="003453DC">
      <w:pPr>
        <w:numPr>
          <w:ilvl w:val="0"/>
          <w:numId w:val="38"/>
        </w:numPr>
        <w:overflowPunct w:val="0"/>
        <w:autoSpaceDE w:val="0"/>
        <w:autoSpaceDN w:val="0"/>
        <w:adjustRightInd w:val="0"/>
        <w:spacing w:before="0" w:after="120" w:line="240" w:lineRule="auto"/>
        <w:textAlignment w:val="baseline"/>
        <w:rPr>
          <w:lang w:val="en-US" w:eastAsia="ko-KR"/>
        </w:rPr>
      </w:pPr>
      <w:r>
        <w:rPr>
          <w:lang w:val="en-US" w:eastAsia="ko-KR"/>
        </w:rPr>
        <w:t xml:space="preserve">(a) </w:t>
      </w:r>
      <w:r w:rsidRPr="005B5565">
        <w:rPr>
          <w:lang w:val="en-US" w:eastAsia="ko-KR"/>
        </w:rPr>
        <w:t>Donor and relay node are differentiated by SSB and/or RMSI such that a</w:t>
      </w:r>
      <w:r>
        <w:rPr>
          <w:lang w:val="en-US" w:eastAsia="ko-KR"/>
        </w:rPr>
        <w:t>n advanced</w:t>
      </w:r>
      <w:r w:rsidRPr="005B5565">
        <w:rPr>
          <w:lang w:val="en-US" w:eastAsia="ko-KR"/>
        </w:rPr>
        <w:t xml:space="preserve"> UE </w:t>
      </w:r>
      <w:r>
        <w:rPr>
          <w:lang w:val="en-US" w:eastAsia="ko-KR"/>
        </w:rPr>
        <w:t xml:space="preserve">can differentiate between donor and relay node. Based on the information, it </w:t>
      </w:r>
      <w:r w:rsidRPr="005B5565">
        <w:rPr>
          <w:lang w:val="en-US" w:eastAsia="ko-KR"/>
        </w:rPr>
        <w:t>may apply penalty on relay node (i.e., if donor and relay show similar quality, donor is selected with higher priority)</w:t>
      </w:r>
      <w:r>
        <w:rPr>
          <w:lang w:val="en-US" w:eastAsia="ko-KR"/>
        </w:rPr>
        <w:t xml:space="preserve"> by applying an offset in RSRQ/RSRP at cell (re)selection. </w:t>
      </w:r>
      <w:r w:rsidR="003627CE">
        <w:rPr>
          <w:lang w:val="en-US" w:eastAsia="ko-KR"/>
        </w:rPr>
        <w:t>Such an offset can be directly indicated in RMSI. Another approach is to indicate the number of relay hops</w:t>
      </w:r>
      <w:r w:rsidR="002D3E43">
        <w:rPr>
          <w:lang w:val="en-US" w:eastAsia="ko-KR"/>
        </w:rPr>
        <w:t xml:space="preserve"> (or relay types)</w:t>
      </w:r>
      <w:r w:rsidR="003627CE">
        <w:rPr>
          <w:lang w:val="en-US" w:eastAsia="ko-KR"/>
        </w:rPr>
        <w:t xml:space="preserve"> and a weight value for it to make offset in RMSI. If so, the number of relay hops</w:t>
      </w:r>
      <w:r w:rsidR="002D3E43">
        <w:rPr>
          <w:lang w:val="en-US" w:eastAsia="ko-KR"/>
        </w:rPr>
        <w:t xml:space="preserve"> </w:t>
      </w:r>
      <w:r w:rsidR="003627CE">
        <w:rPr>
          <w:lang w:val="en-US" w:eastAsia="ko-KR"/>
        </w:rPr>
        <w:t xml:space="preserve">can be utilized for the other </w:t>
      </w:r>
      <w:r w:rsidR="003B2AB2">
        <w:rPr>
          <w:lang w:val="en-US" w:eastAsia="ko-KR"/>
        </w:rPr>
        <w:t>usage, e.g., RRM measurement based on the number of relay hops.</w:t>
      </w:r>
      <w:r w:rsidR="002D3E43">
        <w:rPr>
          <w:lang w:val="en-US" w:eastAsia="ko-KR"/>
        </w:rPr>
        <w:t xml:space="preserve"> Advanced UEs can apply the offset in RSRQ/RSRP calculation for initial access.</w:t>
      </w:r>
    </w:p>
    <w:p w14:paraId="6496FD13" w14:textId="15E0DCE7" w:rsidR="003453DC" w:rsidRPr="005B5565" w:rsidRDefault="003453DC" w:rsidP="00791995">
      <w:pPr>
        <w:overflowPunct w:val="0"/>
        <w:autoSpaceDE w:val="0"/>
        <w:autoSpaceDN w:val="0"/>
        <w:adjustRightInd w:val="0"/>
        <w:spacing w:before="0" w:after="120" w:line="240" w:lineRule="auto"/>
        <w:ind w:left="749" w:firstLine="0"/>
        <w:textAlignment w:val="baseline"/>
        <w:rPr>
          <w:lang w:val="en-US" w:eastAsia="ko-KR"/>
        </w:rPr>
      </w:pPr>
      <w:r>
        <w:rPr>
          <w:lang w:val="en-US" w:eastAsia="ko-KR"/>
        </w:rPr>
        <w:t>To differentiate between donor and relay nodes</w:t>
      </w:r>
      <w:r w:rsidR="002D3E43">
        <w:rPr>
          <w:lang w:val="en-US" w:eastAsia="ko-KR"/>
        </w:rPr>
        <w:t xml:space="preserve"> by SSB</w:t>
      </w:r>
      <w:r>
        <w:rPr>
          <w:lang w:val="en-US" w:eastAsia="ko-KR"/>
        </w:rPr>
        <w:t xml:space="preserve">, </w:t>
      </w:r>
      <w:r w:rsidR="002D3E43">
        <w:rPr>
          <w:lang w:val="en-US" w:eastAsia="ko-KR"/>
        </w:rPr>
        <w:t xml:space="preserve">one can consider that </w:t>
      </w:r>
      <w:r>
        <w:rPr>
          <w:lang w:val="en-US" w:eastAsia="ko-KR"/>
        </w:rPr>
        <w:t xml:space="preserve">SSB with RMSI of donor is transmitted only on sync raster whereas SSB with RMSI of relay is transmitted on non-sync raster. </w:t>
      </w:r>
      <w:r>
        <w:rPr>
          <w:rFonts w:hint="eastAsia"/>
          <w:lang w:val="en-US" w:eastAsia="ko-KR"/>
        </w:rPr>
        <w:t xml:space="preserve">Advanced UE may search additional relay nodes in non-sync raster as well. </w:t>
      </w:r>
      <w:r>
        <w:rPr>
          <w:lang w:val="en-US" w:eastAsia="ko-KR"/>
        </w:rPr>
        <w:t xml:space="preserve">This however increase advanced UE’s complexity. Another approach is to use different scrambling in SSB. </w:t>
      </w:r>
    </w:p>
    <w:p w14:paraId="0F77B05A" w14:textId="6E873D64" w:rsidR="003453DC" w:rsidRDefault="003453DC" w:rsidP="003453DC">
      <w:pPr>
        <w:numPr>
          <w:ilvl w:val="0"/>
          <w:numId w:val="38"/>
        </w:numPr>
        <w:overflowPunct w:val="0"/>
        <w:autoSpaceDE w:val="0"/>
        <w:autoSpaceDN w:val="0"/>
        <w:adjustRightInd w:val="0"/>
        <w:spacing w:before="0" w:after="120" w:line="240" w:lineRule="auto"/>
        <w:textAlignment w:val="baseline"/>
        <w:rPr>
          <w:lang w:val="en-US" w:eastAsia="ko-KR"/>
        </w:rPr>
      </w:pPr>
      <w:r>
        <w:rPr>
          <w:lang w:val="en-US" w:eastAsia="ko-KR"/>
        </w:rPr>
        <w:t xml:space="preserve">(b) </w:t>
      </w:r>
      <w:r w:rsidRPr="005B5565">
        <w:rPr>
          <w:lang w:val="en-US" w:eastAsia="ko-KR"/>
        </w:rPr>
        <w:t xml:space="preserve">Donor and relay node are </w:t>
      </w:r>
      <w:r>
        <w:rPr>
          <w:lang w:val="en-US" w:eastAsia="ko-KR"/>
        </w:rPr>
        <w:t xml:space="preserve">not </w:t>
      </w:r>
      <w:r w:rsidRPr="005B5565">
        <w:rPr>
          <w:lang w:val="en-US" w:eastAsia="ko-KR"/>
        </w:rPr>
        <w:t xml:space="preserve">differentiated by SSB and/or RMSI. </w:t>
      </w:r>
      <w:r>
        <w:rPr>
          <w:lang w:val="en-US" w:eastAsia="ko-KR"/>
        </w:rPr>
        <w:t>Relay and donor may use the same initial access procedure. To minimize impact on UEs by selecting relay over donor when RSRQ/RSRP levels are comparable, we can consider relay node uses smaller power in SSB transmission compared to power used in data such that coverage o</w:t>
      </w:r>
      <w:r w:rsidR="00DE72E2">
        <w:rPr>
          <w:lang w:val="en-US" w:eastAsia="ko-KR"/>
        </w:rPr>
        <w:t>f SSB may be smaller than data.</w:t>
      </w:r>
      <w:r w:rsidR="002D3E43">
        <w:rPr>
          <w:lang w:val="en-US" w:eastAsia="ko-KR"/>
        </w:rPr>
        <w:t xml:space="preserve"> </w:t>
      </w:r>
      <w:r w:rsidR="001E5563">
        <w:rPr>
          <w:lang w:val="en-US" w:eastAsia="ko-KR"/>
        </w:rPr>
        <w:t xml:space="preserve">Power difference between SSB and control/data transmission can be recognized by the used RS power. </w:t>
      </w:r>
      <w:r w:rsidR="00016C28">
        <w:rPr>
          <w:lang w:val="en-US" w:eastAsia="ko-KR"/>
        </w:rPr>
        <w:t>In this approach, b</w:t>
      </w:r>
      <w:r w:rsidR="002D3E43">
        <w:rPr>
          <w:lang w:val="en-US" w:eastAsia="ko-KR"/>
        </w:rPr>
        <w:t>oth of advanced UEs and legacy UEs can have the benefit of selecting node with less latency.</w:t>
      </w:r>
    </w:p>
    <w:p w14:paraId="6A2F1EBD" w14:textId="47A7A5CB" w:rsidR="00CE5E60" w:rsidRDefault="00B40901" w:rsidP="00B76166">
      <w:pPr>
        <w:ind w:left="0" w:firstLine="0"/>
        <w:rPr>
          <w:lang w:val="en-US" w:eastAsia="ko-KR"/>
        </w:rPr>
      </w:pPr>
      <w:r>
        <w:rPr>
          <w:lang w:val="en-US" w:eastAsia="ko-KR"/>
        </w:rPr>
        <w:lastRenderedPageBreak/>
        <w:t xml:space="preserve">Also, the above approach can be applied for handover which would be determined based on RRM measurement feedback of UE. </w:t>
      </w:r>
      <w:r w:rsidR="00A60D0D">
        <w:rPr>
          <w:lang w:val="en-US" w:eastAsia="ko-KR"/>
        </w:rPr>
        <w:t xml:space="preserve">If there are two cells with similar RRM values, it would be beneficial for an UE to be connected to the cell with less hop count. </w:t>
      </w:r>
      <w:r w:rsidR="007E4458" w:rsidRPr="00791995">
        <w:rPr>
          <w:rFonts w:eastAsia="바탕체"/>
          <w:lang w:val="en-US" w:eastAsia="ko-KR"/>
        </w:rPr>
        <w:t>Currently</w:t>
      </w:r>
      <w:r w:rsidR="00DD0517" w:rsidRPr="007E4458">
        <w:rPr>
          <w:lang w:val="en-US" w:eastAsia="ko-KR"/>
        </w:rPr>
        <w:t>,</w:t>
      </w:r>
      <w:r w:rsidR="00A60D0D">
        <w:rPr>
          <w:lang w:val="en-US" w:eastAsia="ko-KR"/>
        </w:rPr>
        <w:t xml:space="preserve"> for event triggering RRM,</w:t>
      </w:r>
      <w:r w:rsidR="00DD0517">
        <w:rPr>
          <w:lang w:val="en-US" w:eastAsia="ko-KR"/>
        </w:rPr>
        <w:t xml:space="preserve"> </w:t>
      </w:r>
      <w:r w:rsidR="00127C5A">
        <w:rPr>
          <w:lang w:val="en-US" w:eastAsia="ko-KR"/>
        </w:rPr>
        <w:t xml:space="preserve">there are six events among serving cell, neighboring cell, SCell and so on. For each event, comparing RRM measurement with different cells’ or threshold, if it satisfies the event condition, </w:t>
      </w:r>
      <w:r w:rsidR="00DD0517">
        <w:rPr>
          <w:lang w:val="en-US" w:eastAsia="ko-KR"/>
        </w:rPr>
        <w:t>UE feedback</w:t>
      </w:r>
      <w:r w:rsidR="00127C5A">
        <w:rPr>
          <w:lang w:val="en-US" w:eastAsia="ko-KR"/>
        </w:rPr>
        <w:t>s</w:t>
      </w:r>
      <w:r w:rsidR="00DD0517">
        <w:rPr>
          <w:lang w:val="en-US" w:eastAsia="ko-KR"/>
        </w:rPr>
        <w:t xml:space="preserve"> the RRM measurement, and add</w:t>
      </w:r>
      <w:r w:rsidR="00127C5A">
        <w:rPr>
          <w:lang w:val="en-US" w:eastAsia="ko-KR"/>
        </w:rPr>
        <w:t xml:space="preserve"> or subtract</w:t>
      </w:r>
      <w:r w:rsidR="00DD0517">
        <w:rPr>
          <w:lang w:val="en-US" w:eastAsia="ko-KR"/>
        </w:rPr>
        <w:t xml:space="preserve"> the cell to the RRM measurement </w:t>
      </w:r>
      <w:r w:rsidR="004E2F3C">
        <w:rPr>
          <w:lang w:val="en-US" w:eastAsia="ko-KR"/>
        </w:rPr>
        <w:t xml:space="preserve">cell </w:t>
      </w:r>
      <w:r w:rsidR="00DD0517">
        <w:rPr>
          <w:lang w:val="en-US" w:eastAsia="ko-KR"/>
        </w:rPr>
        <w:t xml:space="preserve">list. </w:t>
      </w:r>
      <w:r w:rsidR="00CE5E60">
        <w:rPr>
          <w:lang w:val="en-US" w:eastAsia="ko-KR"/>
        </w:rPr>
        <w:t>Such a</w:t>
      </w:r>
      <w:r w:rsidR="004E2F3C">
        <w:rPr>
          <w:lang w:val="en-US" w:eastAsia="ko-KR"/>
        </w:rPr>
        <w:t>n</w:t>
      </w:r>
      <w:r w:rsidR="00CE5E60">
        <w:rPr>
          <w:lang w:val="en-US" w:eastAsia="ko-KR"/>
        </w:rPr>
        <w:t xml:space="preserve"> RRM would be utilized for</w:t>
      </w:r>
      <w:r w:rsidR="004E2F3C">
        <w:rPr>
          <w:lang w:val="en-US" w:eastAsia="ko-KR"/>
        </w:rPr>
        <w:t xml:space="preserve"> handover or node topology by network. </w:t>
      </w:r>
    </w:p>
    <w:p w14:paraId="61EB3ED0" w14:textId="23D4FB3B" w:rsidR="007E4458" w:rsidRDefault="00DD0517" w:rsidP="00B76166">
      <w:pPr>
        <w:ind w:left="0" w:firstLine="0"/>
        <w:rPr>
          <w:lang w:val="en-US" w:eastAsia="ko-KR"/>
        </w:rPr>
      </w:pPr>
      <w:r>
        <w:rPr>
          <w:lang w:val="en-US" w:eastAsia="ko-KR"/>
        </w:rPr>
        <w:t>If network would like to consider the</w:t>
      </w:r>
      <w:r w:rsidR="007E4458">
        <w:rPr>
          <w:lang w:val="en-US" w:eastAsia="ko-KR"/>
        </w:rPr>
        <w:t xml:space="preserve"> number of rel</w:t>
      </w:r>
      <w:r w:rsidR="00127C5A">
        <w:rPr>
          <w:lang w:val="en-US" w:eastAsia="ko-KR"/>
        </w:rPr>
        <w:t xml:space="preserve">ay hops for the </w:t>
      </w:r>
      <w:r w:rsidR="00CE5E60">
        <w:rPr>
          <w:lang w:val="en-US" w:eastAsia="ko-KR"/>
        </w:rPr>
        <w:t xml:space="preserve">event triggering </w:t>
      </w:r>
      <w:r w:rsidR="00127C5A">
        <w:rPr>
          <w:lang w:val="en-US" w:eastAsia="ko-KR"/>
        </w:rPr>
        <w:t>RRM measurement, we can think about the following two approaches:</w:t>
      </w:r>
    </w:p>
    <w:p w14:paraId="72AAE341" w14:textId="62848873" w:rsidR="00CE5E60" w:rsidRDefault="00CE5E60" w:rsidP="00791995">
      <w:pPr>
        <w:pStyle w:val="ad"/>
        <w:numPr>
          <w:ilvl w:val="0"/>
          <w:numId w:val="38"/>
        </w:numPr>
        <w:ind w:leftChars="0"/>
        <w:rPr>
          <w:rFonts w:eastAsiaTheme="minorEastAsia"/>
        </w:rPr>
      </w:pPr>
      <w:r w:rsidRPr="00791995">
        <w:rPr>
          <w:rFonts w:ascii="Times New Roman" w:eastAsiaTheme="minorEastAsia" w:hAnsi="Times New Roman" w:cs="Times New Roman"/>
        </w:rPr>
        <w:t>(a)</w:t>
      </w:r>
      <w:r>
        <w:rPr>
          <w:rFonts w:ascii="Times New Roman" w:eastAsiaTheme="minorEastAsia" w:hAnsi="Times New Roman" w:cs="Times New Roman"/>
        </w:rPr>
        <w:t xml:space="preserve"> Add event: The difference of hop counts between neighboring cell and serving cell, or comparing hop count with a threshold</w:t>
      </w:r>
      <w:r w:rsidR="004E2F3C">
        <w:rPr>
          <w:rFonts w:ascii="Times New Roman" w:eastAsiaTheme="minorEastAsia" w:hAnsi="Times New Roman" w:cs="Times New Roman"/>
        </w:rPr>
        <w:t xml:space="preserve"> can be added in the condition of event triggering RRM measurement. By it, only nodes with a specific range of hop counts</w:t>
      </w:r>
      <w:r w:rsidR="00460F7E">
        <w:rPr>
          <w:rFonts w:ascii="Times New Roman" w:eastAsiaTheme="minorEastAsia" w:hAnsi="Times New Roman" w:cs="Times New Roman"/>
        </w:rPr>
        <w:t xml:space="preserve"> can be managed in</w:t>
      </w:r>
      <w:r w:rsidR="004E2F3C">
        <w:rPr>
          <w:rFonts w:ascii="Times New Roman" w:eastAsiaTheme="minorEastAsia" w:hAnsi="Times New Roman" w:cs="Times New Roman"/>
        </w:rPr>
        <w:t xml:space="preserve"> the RRM measurement cell list. </w:t>
      </w:r>
      <w:r w:rsidR="00460F7E">
        <w:rPr>
          <w:rFonts w:ascii="Times New Roman" w:eastAsiaTheme="minorEastAsia" w:hAnsi="Times New Roman" w:cs="Times New Roman"/>
        </w:rPr>
        <w:t>Assuming network consider hop count, by such an event, UE does not need to transmit unnecessary RRM, and RRM cell list can be effectively managed.</w:t>
      </w:r>
    </w:p>
    <w:p w14:paraId="3CB6B9AF" w14:textId="4EAF3BCB" w:rsidR="00CE5E60" w:rsidRPr="00791995" w:rsidRDefault="00460F7E" w:rsidP="00791995">
      <w:pPr>
        <w:pStyle w:val="ad"/>
        <w:numPr>
          <w:ilvl w:val="0"/>
          <w:numId w:val="38"/>
        </w:numPr>
        <w:ind w:leftChars="0"/>
        <w:rPr>
          <w:rFonts w:eastAsiaTheme="minorEastAsia"/>
        </w:rPr>
      </w:pPr>
      <w:r>
        <w:rPr>
          <w:rFonts w:ascii="Times New Roman" w:eastAsiaTheme="minorEastAsia" w:hAnsi="Times New Roman" w:cs="Times New Roman"/>
        </w:rPr>
        <w:t xml:space="preserve">(b) Add offset: Similar to initial access above, </w:t>
      </w:r>
      <w:r w:rsidR="008934C8">
        <w:rPr>
          <w:rFonts w:ascii="Times New Roman" w:eastAsiaTheme="minorEastAsia" w:hAnsi="Times New Roman" w:cs="Times New Roman"/>
        </w:rPr>
        <w:t xml:space="preserve">it may apply penalty on </w:t>
      </w:r>
      <w:r w:rsidR="001E5563">
        <w:rPr>
          <w:rFonts w:ascii="Times New Roman" w:eastAsiaTheme="minorEastAsia" w:hAnsi="Times New Roman" w:cs="Times New Roman"/>
        </w:rPr>
        <w:t xml:space="preserve">a current event triggering </w:t>
      </w:r>
      <w:r w:rsidR="008934C8">
        <w:rPr>
          <w:rFonts w:ascii="Times New Roman" w:eastAsiaTheme="minorEastAsia" w:hAnsi="Times New Roman" w:cs="Times New Roman"/>
        </w:rPr>
        <w:t>RRM depending on hop counts. An offset by w</w:t>
      </w:r>
      <w:r w:rsidR="001E5563">
        <w:rPr>
          <w:rFonts w:ascii="Times New Roman" w:eastAsiaTheme="minorEastAsia" w:hAnsi="Times New Roman" w:cs="Times New Roman"/>
        </w:rPr>
        <w:t>eighting to relay hop counts can be subtracted to original RRM value. Weighting value or offset can be indicated in RMSI or transmitted by RRC signaling.</w:t>
      </w:r>
    </w:p>
    <w:p w14:paraId="65C3DE12" w14:textId="0B006FBD" w:rsidR="003453DC" w:rsidRPr="005B5565" w:rsidRDefault="003453DC" w:rsidP="003453DC">
      <w:pPr>
        <w:ind w:left="0" w:firstLine="0"/>
        <w:rPr>
          <w:b/>
          <w:i/>
          <w:lang w:val="en-US" w:eastAsia="ko-KR"/>
        </w:rPr>
      </w:pPr>
      <w:r w:rsidRPr="005B5565">
        <w:rPr>
          <w:rFonts w:hint="eastAsia"/>
          <w:b/>
          <w:i/>
          <w:lang w:val="en-US" w:eastAsia="ko-KR"/>
        </w:rPr>
        <w:t xml:space="preserve">Proposal </w:t>
      </w:r>
      <w:r w:rsidR="005C4207">
        <w:rPr>
          <w:b/>
          <w:i/>
          <w:lang w:val="en-US" w:eastAsia="ko-KR"/>
        </w:rPr>
        <w:t>1</w:t>
      </w:r>
      <w:r w:rsidRPr="005B5565">
        <w:rPr>
          <w:rFonts w:hint="eastAsia"/>
          <w:b/>
          <w:i/>
          <w:lang w:val="en-US" w:eastAsia="ko-KR"/>
        </w:rPr>
        <w:t xml:space="preserve">: </w:t>
      </w:r>
      <w:r w:rsidRPr="005B5565">
        <w:rPr>
          <w:b/>
          <w:i/>
          <w:lang w:val="en-US" w:eastAsia="ko-KR"/>
        </w:rPr>
        <w:t>Cell selection/measurement mechanisms on unequal priority between donor and relay nodes need to be further studied. The number of hops need to be also taken into account.</w:t>
      </w:r>
    </w:p>
    <w:p w14:paraId="64748B2C" w14:textId="57CB8296" w:rsidR="003453DC" w:rsidRDefault="003453DC" w:rsidP="003453DC">
      <w:pPr>
        <w:ind w:left="0" w:firstLine="0"/>
        <w:rPr>
          <w:lang w:val="en-US" w:eastAsia="ko-KR"/>
        </w:rPr>
      </w:pPr>
      <w:r>
        <w:rPr>
          <w:rFonts w:hint="eastAsia"/>
          <w:lang w:val="en-US" w:eastAsia="ko-KR"/>
        </w:rPr>
        <w:t xml:space="preserve">Related to </w:t>
      </w:r>
      <w:r>
        <w:rPr>
          <w:lang w:val="en-US" w:eastAsia="ko-KR"/>
        </w:rPr>
        <w:t xml:space="preserve">initial access in IAB, it is common sense that the minimum link quality among all the links from DgNB to UE via relay nodes </w:t>
      </w:r>
      <w:r w:rsidR="00DE72E2">
        <w:rPr>
          <w:lang w:val="en-US" w:eastAsia="ko-KR"/>
        </w:rPr>
        <w:t>is upper bound of</w:t>
      </w:r>
      <w:r>
        <w:rPr>
          <w:lang w:val="en-US" w:eastAsia="ko-KR"/>
        </w:rPr>
        <w:t xml:space="preserve"> the end to end quality</w:t>
      </w:r>
      <w:r w:rsidR="00DE72E2">
        <w:rPr>
          <w:lang w:val="en-US" w:eastAsia="ko-KR"/>
        </w:rPr>
        <w:t xml:space="preserve"> </w:t>
      </w:r>
      <w:r w:rsidR="00DE72E2" w:rsidRPr="00016C28">
        <w:rPr>
          <w:lang w:val="en-US" w:eastAsia="ko-KR"/>
        </w:rPr>
        <w:t>[</w:t>
      </w:r>
      <w:r w:rsidR="00DE72E2" w:rsidRPr="00791995">
        <w:rPr>
          <w:rFonts w:eastAsia="바탕체"/>
          <w:lang w:val="en-US" w:eastAsia="ko-KR"/>
        </w:rPr>
        <w:t>2</w:t>
      </w:r>
      <w:r w:rsidR="00DE72E2" w:rsidRPr="00016C28">
        <w:rPr>
          <w:lang w:val="en-US" w:eastAsia="ko-KR"/>
        </w:rPr>
        <w:t>]</w:t>
      </w:r>
      <w:r w:rsidRPr="00016C28">
        <w:rPr>
          <w:lang w:val="en-US" w:eastAsia="ko-KR"/>
        </w:rPr>
        <w:t>.</w:t>
      </w:r>
      <w:r>
        <w:rPr>
          <w:lang w:val="en-US" w:eastAsia="ko-KR"/>
        </w:rPr>
        <w:t xml:space="preserve"> Although an UE selects the node which has the best RSRP, if even one of link prior to the </w:t>
      </w:r>
      <w:r w:rsidR="00DE72E2">
        <w:rPr>
          <w:lang w:val="en-US" w:eastAsia="ko-KR"/>
        </w:rPr>
        <w:t xml:space="preserve">selected </w:t>
      </w:r>
      <w:r>
        <w:rPr>
          <w:lang w:val="en-US" w:eastAsia="ko-KR"/>
        </w:rPr>
        <w:t xml:space="preserve">relay node has the severely worse link quality, whole performance </w:t>
      </w:r>
      <w:r w:rsidR="00DE72E2">
        <w:rPr>
          <w:lang w:val="en-US" w:eastAsia="ko-KR"/>
        </w:rPr>
        <w:t>is not matched with RSRP when node selection</w:t>
      </w:r>
      <w:r w:rsidR="005C4207">
        <w:rPr>
          <w:lang w:val="en-US" w:eastAsia="ko-KR"/>
        </w:rPr>
        <w:t>, but matched with the worst link quality from Donor to UE via IAB node</w:t>
      </w:r>
      <w:r>
        <w:rPr>
          <w:lang w:val="en-US" w:eastAsia="ko-KR"/>
        </w:rPr>
        <w:t>. In this respect, UE is necessary to know end to end link quality before initial access. We can think about the following approach:</w:t>
      </w:r>
    </w:p>
    <w:p w14:paraId="660C0846" w14:textId="77777777" w:rsidR="003453DC" w:rsidRDefault="003453DC" w:rsidP="003453DC">
      <w:pPr>
        <w:numPr>
          <w:ilvl w:val="0"/>
          <w:numId w:val="38"/>
        </w:numPr>
        <w:overflowPunct w:val="0"/>
        <w:autoSpaceDE w:val="0"/>
        <w:autoSpaceDN w:val="0"/>
        <w:adjustRightInd w:val="0"/>
        <w:spacing w:before="0" w:after="120" w:line="240" w:lineRule="auto"/>
        <w:textAlignment w:val="baseline"/>
        <w:rPr>
          <w:lang w:val="en-US" w:eastAsia="ko-KR"/>
        </w:rPr>
      </w:pPr>
      <w:r>
        <w:rPr>
          <w:lang w:val="en-US" w:eastAsia="ko-KR"/>
        </w:rPr>
        <w:t>Relay node broadcasts the minimum link quality from DgNB to its own node in RMSI. Advanced UEs assumes min (RSRP1, RSRP2) is the relay node’s RSRP where RSRP1 is minimum RSRP from DgNB to the relay and RSRP2 is RSRP from the relay node to UE.</w:t>
      </w:r>
    </w:p>
    <w:p w14:paraId="099D8813" w14:textId="667D9F59" w:rsidR="005914AA" w:rsidRPr="005914AA" w:rsidRDefault="005914AA" w:rsidP="005914AA">
      <w:pPr>
        <w:overflowPunct w:val="0"/>
        <w:autoSpaceDE w:val="0"/>
        <w:autoSpaceDN w:val="0"/>
        <w:adjustRightInd w:val="0"/>
        <w:spacing w:before="0" w:after="120" w:line="240" w:lineRule="auto"/>
        <w:ind w:left="0" w:firstLine="0"/>
        <w:textAlignment w:val="baseline"/>
        <w:rPr>
          <w:rFonts w:eastAsiaTheme="minorEastAsia"/>
          <w:lang w:val="en-US" w:eastAsia="ko-KR"/>
        </w:rPr>
      </w:pPr>
      <w:r>
        <w:rPr>
          <w:rFonts w:eastAsiaTheme="minorEastAsia" w:hint="eastAsia"/>
          <w:lang w:val="en-US" w:eastAsia="ko-KR"/>
        </w:rPr>
        <w:t xml:space="preserve">The worst RSRP approach can be </w:t>
      </w:r>
      <w:r w:rsidR="00BF799A">
        <w:rPr>
          <w:rFonts w:eastAsiaTheme="minorEastAsia"/>
          <w:lang w:val="en-US" w:eastAsia="ko-KR"/>
        </w:rPr>
        <w:t xml:space="preserve">also </w:t>
      </w:r>
      <w:r>
        <w:rPr>
          <w:rFonts w:eastAsiaTheme="minorEastAsia" w:hint="eastAsia"/>
          <w:lang w:val="en-US" w:eastAsia="ko-KR"/>
        </w:rPr>
        <w:t>applied for RRM measurement</w:t>
      </w:r>
      <w:r>
        <w:rPr>
          <w:rFonts w:eastAsiaTheme="minorEastAsia"/>
          <w:lang w:val="en-US" w:eastAsia="ko-KR"/>
        </w:rPr>
        <w:t>.</w:t>
      </w:r>
      <w:r w:rsidR="00BF799A">
        <w:rPr>
          <w:rFonts w:eastAsiaTheme="minorEastAsia"/>
          <w:lang w:val="en-US" w:eastAsia="ko-KR"/>
        </w:rPr>
        <w:t xml:space="preserve"> If network would like to consider the worst RSRP from DgNB through IAB node to UE, for the event triggered RRM measurement, UEs can calculate the worst RSRP. If not, sometimes, UEs would feedback RRM which is not needed at network side. It would be helpful to have more realistic RRM results.</w:t>
      </w:r>
    </w:p>
    <w:p w14:paraId="71F25B3F" w14:textId="46A907E0" w:rsidR="003453DC" w:rsidRPr="003453DC" w:rsidRDefault="003453DC" w:rsidP="00ED30B7">
      <w:pPr>
        <w:ind w:left="0" w:firstLine="0"/>
        <w:rPr>
          <w:rFonts w:eastAsiaTheme="minorEastAsia"/>
          <w:lang w:eastAsia="ko-KR"/>
        </w:rPr>
      </w:pPr>
      <w:r>
        <w:rPr>
          <w:rFonts w:hint="eastAsia"/>
          <w:b/>
          <w:i/>
          <w:lang w:val="en-US" w:eastAsia="ko-KR"/>
        </w:rPr>
        <w:t xml:space="preserve">Proposal </w:t>
      </w:r>
      <w:r w:rsidR="005C4207">
        <w:rPr>
          <w:b/>
          <w:i/>
          <w:lang w:val="en-US" w:eastAsia="ko-KR"/>
        </w:rPr>
        <w:t>2</w:t>
      </w:r>
      <w:r w:rsidRPr="000D282C">
        <w:rPr>
          <w:rFonts w:hint="eastAsia"/>
          <w:b/>
          <w:i/>
          <w:lang w:val="en-US" w:eastAsia="ko-KR"/>
        </w:rPr>
        <w:t xml:space="preserve">: </w:t>
      </w:r>
      <w:r>
        <w:rPr>
          <w:b/>
          <w:i/>
          <w:lang w:val="en-US" w:eastAsia="ko-KR"/>
        </w:rPr>
        <w:t xml:space="preserve">For </w:t>
      </w:r>
      <w:r w:rsidR="005914AA" w:rsidRPr="005B5565">
        <w:rPr>
          <w:b/>
          <w:i/>
          <w:lang w:val="en-US" w:eastAsia="ko-KR"/>
        </w:rPr>
        <w:t>Cell selection/measurement mechanisms</w:t>
      </w:r>
      <w:r>
        <w:rPr>
          <w:b/>
          <w:i/>
          <w:lang w:val="en-US" w:eastAsia="ko-KR"/>
        </w:rPr>
        <w:t xml:space="preserve">, </w:t>
      </w:r>
      <w:r w:rsidR="005C4207">
        <w:rPr>
          <w:b/>
          <w:i/>
          <w:lang w:val="en-US" w:eastAsia="ko-KR"/>
        </w:rPr>
        <w:t xml:space="preserve">maximizing of min(RSRP) among all the links </w:t>
      </w:r>
      <w:r>
        <w:rPr>
          <w:b/>
          <w:i/>
          <w:lang w:val="en-US" w:eastAsia="ko-KR"/>
        </w:rPr>
        <w:t>from DgNB</w:t>
      </w:r>
      <w:r w:rsidR="005C4207">
        <w:rPr>
          <w:b/>
          <w:i/>
          <w:lang w:val="en-US" w:eastAsia="ko-KR"/>
        </w:rPr>
        <w:t xml:space="preserve"> through IAB</w:t>
      </w:r>
      <w:r>
        <w:rPr>
          <w:b/>
          <w:i/>
          <w:lang w:val="en-US" w:eastAsia="ko-KR"/>
        </w:rPr>
        <w:t xml:space="preserve"> to UE can be considered.</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3E1CB1E4" w14:textId="11FE4B57" w:rsidR="00416B83" w:rsidRDefault="005914AA" w:rsidP="00416B83">
      <w:pPr>
        <w:ind w:left="0" w:firstLine="0"/>
        <w:rPr>
          <w:b/>
          <w:i/>
          <w:lang w:val="en-US" w:eastAsia="ko-KR"/>
        </w:rPr>
      </w:pPr>
      <w:r w:rsidRPr="005B5565">
        <w:rPr>
          <w:rFonts w:hint="eastAsia"/>
          <w:b/>
          <w:i/>
          <w:lang w:val="en-US" w:eastAsia="ko-KR"/>
        </w:rPr>
        <w:t xml:space="preserve">Proposal </w:t>
      </w:r>
      <w:r>
        <w:rPr>
          <w:b/>
          <w:i/>
          <w:lang w:val="en-US" w:eastAsia="ko-KR"/>
        </w:rPr>
        <w:t>1</w:t>
      </w:r>
      <w:r w:rsidRPr="005B5565">
        <w:rPr>
          <w:rFonts w:hint="eastAsia"/>
          <w:b/>
          <w:i/>
          <w:lang w:val="en-US" w:eastAsia="ko-KR"/>
        </w:rPr>
        <w:t xml:space="preserve">: </w:t>
      </w:r>
      <w:r w:rsidRPr="005B5565">
        <w:rPr>
          <w:b/>
          <w:i/>
          <w:lang w:val="en-US" w:eastAsia="ko-KR"/>
        </w:rPr>
        <w:t>Cell selection/measurement mechanisms on unequal priority between donor and relay nodes need to be further studied. The number of hops need to be also taken into account</w:t>
      </w:r>
      <w:r>
        <w:rPr>
          <w:b/>
          <w:i/>
          <w:lang w:val="en-US" w:eastAsia="ko-KR"/>
        </w:rPr>
        <w:t>.</w:t>
      </w:r>
    </w:p>
    <w:p w14:paraId="639D08F8" w14:textId="161B4250" w:rsidR="005914AA" w:rsidRPr="005914AA" w:rsidRDefault="005914AA" w:rsidP="00416B83">
      <w:pPr>
        <w:ind w:left="0" w:firstLine="0"/>
        <w:rPr>
          <w:rFonts w:eastAsiaTheme="minorEastAsia"/>
          <w:b/>
          <w:i/>
          <w:lang w:eastAsia="ko-KR"/>
        </w:rPr>
      </w:pPr>
      <w:r>
        <w:rPr>
          <w:rFonts w:hint="eastAsia"/>
          <w:b/>
          <w:i/>
          <w:lang w:val="en-US" w:eastAsia="ko-KR"/>
        </w:rPr>
        <w:lastRenderedPageBreak/>
        <w:t xml:space="preserve">Proposal </w:t>
      </w:r>
      <w:r>
        <w:rPr>
          <w:b/>
          <w:i/>
          <w:lang w:val="en-US" w:eastAsia="ko-KR"/>
        </w:rPr>
        <w:t>2</w:t>
      </w:r>
      <w:r w:rsidRPr="000D282C">
        <w:rPr>
          <w:rFonts w:hint="eastAsia"/>
          <w:b/>
          <w:i/>
          <w:lang w:val="en-US" w:eastAsia="ko-KR"/>
        </w:rPr>
        <w:t xml:space="preserve">: </w:t>
      </w:r>
      <w:r>
        <w:rPr>
          <w:b/>
          <w:i/>
          <w:lang w:val="en-US" w:eastAsia="ko-KR"/>
        </w:rPr>
        <w:t xml:space="preserve">For </w:t>
      </w:r>
      <w:r w:rsidRPr="005B5565">
        <w:rPr>
          <w:b/>
          <w:i/>
          <w:lang w:val="en-US" w:eastAsia="ko-KR"/>
        </w:rPr>
        <w:t>Cell selection/measurement mechanisms</w:t>
      </w:r>
      <w:r>
        <w:rPr>
          <w:b/>
          <w:i/>
          <w:lang w:val="en-US" w:eastAsia="ko-KR"/>
        </w:rPr>
        <w:t>, maximizing of min(RSRP) among all the links from DgNB through IAB to UE can be considered.</w:t>
      </w:r>
    </w:p>
    <w:p w14:paraId="47E7E8D8" w14:textId="53D6327F" w:rsidR="0084663E" w:rsidRPr="00416B83" w:rsidRDefault="00416B83" w:rsidP="00416B83">
      <w:pPr>
        <w:pStyle w:val="ad"/>
        <w:numPr>
          <w:ilvl w:val="0"/>
          <w:numId w:val="2"/>
        </w:numPr>
        <w:ind w:leftChars="0"/>
        <w:rPr>
          <w:rFonts w:ascii="Arial" w:hAnsi="Arial" w:cs="Arial"/>
          <w:b/>
          <w:bCs/>
          <w:iCs/>
          <w:sz w:val="28"/>
          <w:szCs w:val="28"/>
        </w:rPr>
      </w:pPr>
      <w:r>
        <w:rPr>
          <w:rFonts w:ascii="Arial" w:hAnsi="Arial" w:cs="Arial" w:hint="eastAsia"/>
          <w:b/>
          <w:bCs/>
          <w:iCs/>
          <w:sz w:val="28"/>
          <w:szCs w:val="28"/>
        </w:rPr>
        <w:t>Reference</w:t>
      </w:r>
    </w:p>
    <w:p w14:paraId="60E7CEC1" w14:textId="05903145" w:rsidR="00B31EB0" w:rsidRDefault="00416B83" w:rsidP="00416B83">
      <w:pPr>
        <w:ind w:left="0" w:firstLine="0"/>
        <w:rPr>
          <w:rFonts w:eastAsiaTheme="minorEastAsia"/>
          <w:lang w:eastAsia="ko-KR"/>
        </w:rPr>
      </w:pPr>
      <w:r>
        <w:rPr>
          <w:rFonts w:eastAsiaTheme="minorEastAsia" w:hint="eastAsia"/>
          <w:lang w:eastAsia="ko-KR"/>
        </w:rPr>
        <w:t>[</w:t>
      </w:r>
      <w:r>
        <w:rPr>
          <w:rFonts w:eastAsiaTheme="minorEastAsia"/>
          <w:lang w:eastAsia="ko-KR"/>
        </w:rPr>
        <w:t>1</w:t>
      </w:r>
      <w:r>
        <w:rPr>
          <w:rFonts w:eastAsiaTheme="minorEastAsia" w:hint="eastAsia"/>
          <w:lang w:eastAsia="ko-KR"/>
        </w:rPr>
        <w:t>]</w:t>
      </w:r>
      <w:r>
        <w:rPr>
          <w:rFonts w:eastAsiaTheme="minorEastAsia"/>
          <w:lang w:eastAsia="ko-KR"/>
        </w:rPr>
        <w:t xml:space="preserve"> </w:t>
      </w:r>
      <w:r w:rsidR="00357D13">
        <w:rPr>
          <w:rFonts w:eastAsiaTheme="minorEastAsia"/>
          <w:lang w:eastAsia="ko-KR"/>
        </w:rPr>
        <w:t>R1-180</w:t>
      </w:r>
      <w:r w:rsidR="00016C28">
        <w:rPr>
          <w:rFonts w:eastAsiaTheme="minorEastAsia"/>
          <w:lang w:eastAsia="ko-KR"/>
        </w:rPr>
        <w:t>7850, “</w:t>
      </w:r>
      <w:r w:rsidR="00016C28" w:rsidRPr="00016C28">
        <w:rPr>
          <w:rFonts w:eastAsiaTheme="minorEastAsia"/>
          <w:lang w:eastAsia="ko-KR"/>
        </w:rPr>
        <w:t>TP for 38.874 capturing RAN1 agreements on IAB</w:t>
      </w:r>
      <w:r w:rsidR="00016C28">
        <w:rPr>
          <w:rFonts w:eastAsiaTheme="minorEastAsia"/>
          <w:lang w:eastAsia="ko-KR"/>
        </w:rPr>
        <w:t xml:space="preserve">”, </w:t>
      </w:r>
      <w:r w:rsidR="00016C28" w:rsidRPr="00016C28">
        <w:rPr>
          <w:rFonts w:eastAsiaTheme="minorEastAsia"/>
          <w:lang w:eastAsia="ko-KR"/>
        </w:rPr>
        <w:t>AT&amp;T</w:t>
      </w:r>
      <w:r w:rsidR="00016C28">
        <w:rPr>
          <w:rFonts w:eastAsiaTheme="minorEastAsia"/>
          <w:lang w:eastAsia="ko-KR"/>
        </w:rPr>
        <w:t>.</w:t>
      </w:r>
    </w:p>
    <w:p w14:paraId="0C0D4184" w14:textId="77777777" w:rsidR="00DE72E2" w:rsidRPr="00DE72E2" w:rsidRDefault="00357D13" w:rsidP="00DE72E2">
      <w:pPr>
        <w:pStyle w:val="References"/>
        <w:numPr>
          <w:ilvl w:val="0"/>
          <w:numId w:val="0"/>
        </w:numPr>
        <w:ind w:rightChars="100" w:right="200"/>
        <w:rPr>
          <w:sz w:val="20"/>
          <w:szCs w:val="20"/>
          <w:lang w:eastAsia="ko-KR"/>
        </w:rPr>
      </w:pPr>
      <w:r w:rsidRPr="00DE72E2">
        <w:rPr>
          <w:rFonts w:eastAsiaTheme="minorEastAsia"/>
          <w:sz w:val="20"/>
          <w:szCs w:val="20"/>
          <w:lang w:eastAsia="ko-KR"/>
        </w:rPr>
        <w:t xml:space="preserve">[2] </w:t>
      </w:r>
      <w:r w:rsidR="00DE72E2" w:rsidRPr="00DE72E2">
        <w:rPr>
          <w:sz w:val="20"/>
          <w:szCs w:val="20"/>
          <w:lang w:eastAsia="ko-KR"/>
        </w:rPr>
        <w:t xml:space="preserve">M. O. Hasna and M.-S. Alouini, “Outage probability of multihop transmission over Nakagami </w:t>
      </w:r>
      <w:r w:rsidR="00DE72E2" w:rsidRPr="00DE72E2">
        <w:rPr>
          <w:rFonts w:eastAsia="맑은 고딕"/>
          <w:sz w:val="20"/>
          <w:szCs w:val="20"/>
          <w:lang w:eastAsia="ko-KR"/>
        </w:rPr>
        <w:t>fading channels,” IEEE Commun. Letter, vol. 7, no. 5, pp. 216–218, May 2003.</w:t>
      </w:r>
    </w:p>
    <w:p w14:paraId="0D2FA623" w14:textId="395EFC99" w:rsidR="00357D13" w:rsidRPr="00DE72E2" w:rsidRDefault="00357D13" w:rsidP="00DE72E2">
      <w:pPr>
        <w:ind w:left="0" w:firstLine="0"/>
        <w:rPr>
          <w:rFonts w:eastAsiaTheme="minorEastAsia"/>
          <w:lang w:eastAsia="ko-KR"/>
        </w:rPr>
      </w:pPr>
    </w:p>
    <w:sectPr w:rsidR="00357D13" w:rsidRPr="00DE72E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20B5F" w14:textId="77777777" w:rsidR="008C246E" w:rsidRDefault="008C246E" w:rsidP="00CB15B0">
      <w:pPr>
        <w:spacing w:before="0" w:after="0" w:line="240" w:lineRule="auto"/>
      </w:pPr>
      <w:r>
        <w:separator/>
      </w:r>
    </w:p>
  </w:endnote>
  <w:endnote w:type="continuationSeparator" w:id="0">
    <w:p w14:paraId="7EF8ED7B" w14:textId="77777777" w:rsidR="008C246E" w:rsidRDefault="008C246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FC2B" w14:textId="77777777" w:rsidR="008C246E" w:rsidRDefault="008C246E" w:rsidP="00CB15B0">
      <w:pPr>
        <w:spacing w:before="0" w:after="0" w:line="240" w:lineRule="auto"/>
      </w:pPr>
      <w:r>
        <w:separator/>
      </w:r>
    </w:p>
  </w:footnote>
  <w:footnote w:type="continuationSeparator" w:id="0">
    <w:p w14:paraId="42EE562A" w14:textId="77777777" w:rsidR="008C246E" w:rsidRDefault="008C246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24FB5"/>
    <w:multiLevelType w:val="hybridMultilevel"/>
    <w:tmpl w:val="504CC44E"/>
    <w:lvl w:ilvl="0" w:tplc="8BEC3F54">
      <w:start w:val="1"/>
      <w:numFmt w:val="bullet"/>
      <w:lvlText w:val="-"/>
      <w:lvlJc w:val="left"/>
      <w:pPr>
        <w:ind w:left="760" w:hanging="360"/>
      </w:pPr>
      <w:rPr>
        <w:rFonts w:ascii="Times New Roman" w:eastAsia="맑은 고딕" w:hAnsi="Times New Roman" w:cs="Times New Roman" w:hint="default"/>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9C10F75"/>
    <w:multiLevelType w:val="hybridMultilevel"/>
    <w:tmpl w:val="C13E0D3C"/>
    <w:lvl w:ilvl="0" w:tplc="51CEA4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5"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5"/>
  </w:num>
  <w:num w:numId="2">
    <w:abstractNumId w:val="35"/>
  </w:num>
  <w:num w:numId="3">
    <w:abstractNumId w:val="0"/>
  </w:num>
  <w:num w:numId="4">
    <w:abstractNumId w:val="16"/>
  </w:num>
  <w:num w:numId="5">
    <w:abstractNumId w:val="12"/>
  </w:num>
  <w:num w:numId="6">
    <w:abstractNumId w:val="36"/>
  </w:num>
  <w:num w:numId="7">
    <w:abstractNumId w:val="9"/>
  </w:num>
  <w:num w:numId="8">
    <w:abstractNumId w:val="11"/>
  </w:num>
  <w:num w:numId="9">
    <w:abstractNumId w:val="1"/>
  </w:num>
  <w:num w:numId="10">
    <w:abstractNumId w:val="2"/>
  </w:num>
  <w:num w:numId="11">
    <w:abstractNumId w:val="5"/>
  </w:num>
  <w:num w:numId="12">
    <w:abstractNumId w:val="7"/>
  </w:num>
  <w:num w:numId="13">
    <w:abstractNumId w:val="17"/>
  </w:num>
  <w:num w:numId="14">
    <w:abstractNumId w:val="20"/>
  </w:num>
  <w:num w:numId="15">
    <w:abstractNumId w:val="10"/>
  </w:num>
  <w:num w:numId="16">
    <w:abstractNumId w:val="27"/>
  </w:num>
  <w:num w:numId="17">
    <w:abstractNumId w:val="14"/>
  </w:num>
  <w:num w:numId="18">
    <w:abstractNumId w:val="34"/>
  </w:num>
  <w:num w:numId="19">
    <w:abstractNumId w:val="15"/>
  </w:num>
  <w:num w:numId="20">
    <w:abstractNumId w:val="18"/>
  </w:num>
  <w:num w:numId="21">
    <w:abstractNumId w:val="3"/>
  </w:num>
  <w:num w:numId="22">
    <w:abstractNumId w:val="29"/>
  </w:num>
  <w:num w:numId="23">
    <w:abstractNumId w:val="33"/>
  </w:num>
  <w:num w:numId="24">
    <w:abstractNumId w:val="21"/>
  </w:num>
  <w:num w:numId="25">
    <w:abstractNumId w:val="19"/>
  </w:num>
  <w:num w:numId="26">
    <w:abstractNumId w:val="32"/>
  </w:num>
  <w:num w:numId="27">
    <w:abstractNumId w:val="8"/>
  </w:num>
  <w:num w:numId="28">
    <w:abstractNumId w:val="23"/>
  </w:num>
  <w:num w:numId="29">
    <w:abstractNumId w:val="37"/>
  </w:num>
  <w:num w:numId="30">
    <w:abstractNumId w:val="24"/>
  </w:num>
  <w:num w:numId="31">
    <w:abstractNumId w:val="28"/>
  </w:num>
  <w:num w:numId="32">
    <w:abstractNumId w:val="13"/>
  </w:num>
  <w:num w:numId="33">
    <w:abstractNumId w:val="6"/>
  </w:num>
  <w:num w:numId="34">
    <w:abstractNumId w:val="31"/>
  </w:num>
  <w:num w:numId="35">
    <w:abstractNumId w:val="25"/>
  </w:num>
  <w:num w:numId="36">
    <w:abstractNumId w:val="30"/>
  </w:num>
  <w:num w:numId="37">
    <w:abstractNumId w:val="4"/>
  </w:num>
  <w:num w:numId="38">
    <w:abstractNumId w:val="22"/>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5D3F"/>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A3D"/>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2F3C"/>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995"/>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E2"/>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10BF1-0CD4-47A5-A20C-486F72F3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5630</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3</cp:revision>
  <cp:lastPrinted>2016-05-13T07:55:00Z</cp:lastPrinted>
  <dcterms:created xsi:type="dcterms:W3CDTF">2018-08-10T11:04:00Z</dcterms:created>
  <dcterms:modified xsi:type="dcterms:W3CDTF">2018-08-10T11:04:00Z</dcterms:modified>
</cp:coreProperties>
</file>